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DD3" w:rsidRDefault="00FD3DD3" w:rsidP="00B72106">
      <w:pPr>
        <w:ind w:firstLine="0"/>
        <w:jc w:val="both"/>
        <w:rPr>
          <w:b/>
        </w:rPr>
      </w:pPr>
    </w:p>
    <w:p w:rsidR="00FD3DD3" w:rsidRDefault="00FD3DD3" w:rsidP="00FD3DD3">
      <w:pPr>
        <w:contextualSpacing/>
        <w:rPr>
          <w:b/>
        </w:rPr>
      </w:pPr>
    </w:p>
    <w:p w:rsidR="00A55890" w:rsidRDefault="00A55890" w:rsidP="00A55890">
      <w:pPr>
        <w:contextualSpacing/>
        <w:rPr>
          <w:b/>
        </w:rPr>
      </w:pPr>
    </w:p>
    <w:p w:rsidR="00A55890" w:rsidRDefault="00A55890" w:rsidP="00A55890">
      <w:pPr>
        <w:contextualSpacing/>
        <w:rPr>
          <w:b/>
        </w:rPr>
      </w:pPr>
    </w:p>
    <w:p w:rsidR="00A55890" w:rsidRDefault="00A55890" w:rsidP="00A55890">
      <w:pPr>
        <w:contextualSpacing/>
        <w:rPr>
          <w:b/>
        </w:rPr>
      </w:pPr>
    </w:p>
    <w:p w:rsidR="00A55890" w:rsidRDefault="00A55890" w:rsidP="00A55890">
      <w:pPr>
        <w:contextualSpacing/>
        <w:rPr>
          <w:b/>
        </w:rPr>
      </w:pPr>
    </w:p>
    <w:p w:rsidR="00A55890" w:rsidRDefault="00A55890" w:rsidP="00A55890">
      <w:pPr>
        <w:contextualSpacing/>
        <w:rPr>
          <w:b/>
        </w:rPr>
      </w:pPr>
    </w:p>
    <w:p w:rsidR="00A55890" w:rsidRPr="00FD3DD3" w:rsidRDefault="004A653B" w:rsidP="00A55890">
      <w:pPr>
        <w:contextualSpacing/>
        <w:rPr>
          <w:b/>
        </w:rPr>
      </w:pPr>
      <w:r>
        <w:rPr>
          <w:b/>
        </w:rPr>
        <w:t>Questions</w:t>
      </w:r>
    </w:p>
    <w:p w:rsidR="00FD3DD3" w:rsidRDefault="00FD3DD3" w:rsidP="00FD3DD3">
      <w:pPr>
        <w:contextualSpacing/>
      </w:pPr>
      <w:r>
        <w:t>Name</w:t>
      </w:r>
    </w:p>
    <w:p w:rsidR="00FD3DD3" w:rsidRDefault="00FD3DD3" w:rsidP="00FD3DD3">
      <w:pPr>
        <w:contextualSpacing/>
      </w:pPr>
      <w:r>
        <w:t>Institution</w:t>
      </w:r>
    </w:p>
    <w:p w:rsidR="00FD3DD3" w:rsidRDefault="00FD3DD3" w:rsidP="00FD3DD3">
      <w:pPr>
        <w:contextualSpacing/>
      </w:pPr>
      <w:r>
        <w:t>Date</w:t>
      </w:r>
    </w:p>
    <w:p w:rsidR="006D4939" w:rsidRDefault="006D4939" w:rsidP="006D4939">
      <w:pPr>
        <w:ind w:firstLine="0"/>
        <w:contextualSpacing/>
        <w:jc w:val="both"/>
      </w:pPr>
    </w:p>
    <w:p w:rsidR="006D4939" w:rsidRDefault="006D4939" w:rsidP="006D4939">
      <w:pPr>
        <w:ind w:firstLine="0"/>
        <w:contextualSpacing/>
        <w:jc w:val="both"/>
      </w:pPr>
    </w:p>
    <w:p w:rsidR="006D4939" w:rsidRDefault="006D4939" w:rsidP="006D4939">
      <w:pPr>
        <w:ind w:firstLine="0"/>
        <w:contextualSpacing/>
        <w:jc w:val="both"/>
      </w:pPr>
    </w:p>
    <w:p w:rsidR="006D4939" w:rsidRDefault="006D4939" w:rsidP="006D4939">
      <w:pPr>
        <w:ind w:firstLine="0"/>
        <w:contextualSpacing/>
        <w:jc w:val="both"/>
      </w:pPr>
    </w:p>
    <w:p w:rsidR="00B72106" w:rsidRDefault="00B72106" w:rsidP="006D4939">
      <w:pPr>
        <w:ind w:firstLine="0"/>
        <w:contextualSpacing/>
        <w:jc w:val="both"/>
      </w:pPr>
    </w:p>
    <w:p w:rsidR="00B72106" w:rsidRDefault="00B72106" w:rsidP="006D4939">
      <w:pPr>
        <w:ind w:firstLine="0"/>
        <w:contextualSpacing/>
        <w:jc w:val="both"/>
      </w:pPr>
    </w:p>
    <w:p w:rsidR="00B72106" w:rsidRDefault="00B72106" w:rsidP="006D4939">
      <w:pPr>
        <w:ind w:firstLine="0"/>
        <w:contextualSpacing/>
        <w:jc w:val="both"/>
      </w:pPr>
    </w:p>
    <w:p w:rsidR="00B72106" w:rsidRDefault="00B72106" w:rsidP="006D4939">
      <w:pPr>
        <w:ind w:firstLine="0"/>
        <w:contextualSpacing/>
        <w:jc w:val="both"/>
      </w:pPr>
    </w:p>
    <w:p w:rsidR="00B72106" w:rsidRDefault="00B72106" w:rsidP="006D4939">
      <w:pPr>
        <w:ind w:firstLine="0"/>
        <w:contextualSpacing/>
        <w:jc w:val="both"/>
      </w:pPr>
    </w:p>
    <w:p w:rsidR="00B72106" w:rsidRDefault="00B72106" w:rsidP="006D4939">
      <w:pPr>
        <w:ind w:firstLine="0"/>
        <w:contextualSpacing/>
        <w:jc w:val="both"/>
      </w:pPr>
    </w:p>
    <w:p w:rsidR="00B72106" w:rsidRDefault="00B72106" w:rsidP="006D4939">
      <w:pPr>
        <w:ind w:firstLine="0"/>
        <w:contextualSpacing/>
        <w:jc w:val="both"/>
      </w:pPr>
    </w:p>
    <w:p w:rsidR="006D4939" w:rsidRDefault="006D4939" w:rsidP="006D4939">
      <w:pPr>
        <w:ind w:firstLine="0"/>
        <w:contextualSpacing/>
        <w:jc w:val="both"/>
      </w:pPr>
    </w:p>
    <w:p w:rsidR="006D4939" w:rsidRPr="006D4939" w:rsidRDefault="006D4939" w:rsidP="006D4939">
      <w:pPr>
        <w:ind w:firstLine="0"/>
        <w:contextualSpacing/>
      </w:pPr>
      <w:r w:rsidRPr="006D4939">
        <w:rPr>
          <w:b/>
        </w:rPr>
        <w:lastRenderedPageBreak/>
        <w:t>Part 1</w:t>
      </w:r>
    </w:p>
    <w:p w:rsidR="006D4939" w:rsidRPr="006D4939" w:rsidRDefault="006D4939" w:rsidP="006D4939">
      <w:pPr>
        <w:contextualSpacing/>
        <w:rPr>
          <w:b/>
        </w:rPr>
      </w:pPr>
      <w:r w:rsidRPr="006D4939">
        <w:rPr>
          <w:b/>
        </w:rPr>
        <w:t>Question 1: Demarcation Problem Solution</w:t>
      </w:r>
    </w:p>
    <w:p w:rsidR="006D4939" w:rsidRPr="006D4939" w:rsidRDefault="006D4939" w:rsidP="006D4939">
      <w:pPr>
        <w:contextualSpacing/>
        <w:jc w:val="left"/>
      </w:pPr>
      <w:r w:rsidRPr="006D4939">
        <w:t>The demarcation problem involves distinguishing different hypotheses regarding either science or non-science or pseudoscience through human activities such as art and beliefs. There are various criteria which should be used to solve demarcation problems though they contradict each other. Therefore, philosophers can distinguish science from non-science and propose relevant solutions to prevent the negative impact of pseudoscientific knowledge on society</w:t>
      </w:r>
      <w:r w:rsidR="00B72106">
        <w:t xml:space="preserve"> </w:t>
      </w:r>
      <w:r w:rsidR="003A4601">
        <w:t xml:space="preserve">(Fink, </w:t>
      </w:r>
      <w:r w:rsidR="00A47DB1">
        <w:t>2018)</w:t>
      </w:r>
      <w:r w:rsidRPr="006D4939">
        <w:t>. Consequently, it's ideal for scientists to develop reliable solutions to enable individuals to cope with the demarcation problem. Different philosophers have encouraged different criteria to solve demarcation problems, therefore ending up criticizing each other. One of the suggestions was verification criterion that Karl Popper criticized, one of the popular philosophers through his falsification idea.</w:t>
      </w:r>
    </w:p>
    <w:p w:rsidR="006D4939" w:rsidRPr="006D4939" w:rsidRDefault="006D4939" w:rsidP="006D4939">
      <w:pPr>
        <w:contextualSpacing/>
        <w:jc w:val="left"/>
      </w:pPr>
      <w:r w:rsidRPr="006D4939">
        <w:t xml:space="preserve">According to Popper, verification cannot be applied as a criterion since supporting facts can be found for different scientific theories that are not endorsed by conceivable events. For that reason, Popper prefers correlation theories and testability coming up with a falsification criterion. Popper's criterion famous the verification since approaches can fail to have evidence to support its hypothesis </w:t>
      </w:r>
      <w:r w:rsidR="00A47DB1" w:rsidRPr="006D4939">
        <w:t>scientifically</w:t>
      </w:r>
      <w:r w:rsidR="00A47DB1">
        <w:t xml:space="preserve"> (Lebedev, 2016)</w:t>
      </w:r>
      <w:r w:rsidRPr="006D4939">
        <w:t xml:space="preserve">. However, scientific statements can be empirically verified with the help of pieces of evidence. Popper's falsificationism </w:t>
      </w:r>
      <w:r w:rsidR="00875B06">
        <w:t>criterion</w:t>
      </w:r>
      <w:r w:rsidRPr="006D4939">
        <w:t xml:space="preserve"> attempt</w:t>
      </w:r>
      <w:r w:rsidR="00875B06">
        <w:t>s</w:t>
      </w:r>
      <w:r w:rsidRPr="006D4939">
        <w:t xml:space="preserve"> to solve the demarcation</w:t>
      </w:r>
      <w:r w:rsidR="00875B06">
        <w:t xml:space="preserve"> problem through falsifiability and is </w:t>
      </w:r>
      <w:r w:rsidRPr="006D4939">
        <w:t>able to distinguishing theory and scientific knowledge. His criterion is objected by other researchers who argue that his idea is limited and doesn't support the progress of non-scientific knowledge.</w:t>
      </w:r>
    </w:p>
    <w:p w:rsidR="006D4939" w:rsidRPr="006D4939" w:rsidRDefault="006D4939" w:rsidP="006D4939">
      <w:pPr>
        <w:contextualSpacing/>
        <w:jc w:val="left"/>
      </w:pPr>
      <w:r w:rsidRPr="006D4939">
        <w:t>Lakatos,</w:t>
      </w:r>
      <w:r w:rsidR="00B72106">
        <w:t xml:space="preserve"> is</w:t>
      </w:r>
      <w:r w:rsidRPr="006D4939">
        <w:t xml:space="preserve"> a critic of Popper's criterion for demarcation of problem who argues that the use falsifiability as a demarcation criterion is applicable when distinguishing scientific method </w:t>
      </w:r>
      <w:r w:rsidRPr="006D4939">
        <w:lastRenderedPageBreak/>
        <w:t>from non scientific method. The Lakatos</w:t>
      </w:r>
      <w:r w:rsidR="00A47DB1">
        <w:t xml:space="preserve">’ </w:t>
      </w:r>
      <w:r w:rsidRPr="006D4939">
        <w:t>sophisticated falsificationism does not differ a lot from the Popper</w:t>
      </w:r>
      <w:r w:rsidR="00B72106">
        <w:t>’</w:t>
      </w:r>
      <w:r w:rsidRPr="006D4939">
        <w:t xml:space="preserve">s idea only that he is against scientists being subjected to giving evidences to support their </w:t>
      </w:r>
      <w:r w:rsidR="00A47DB1" w:rsidRPr="006D4939">
        <w:t>hypothesis</w:t>
      </w:r>
      <w:r w:rsidR="00A47DB1">
        <w:t xml:space="preserve"> (</w:t>
      </w:r>
      <w:r w:rsidR="003A4601">
        <w:t>Van Witteloostuijn, 2016)</w:t>
      </w:r>
      <w:r w:rsidRPr="006D4939">
        <w:t>. He concentrates on coming up with reliable demarcation criteria that distinguish scientific and non-scientific theories, which he argues as the gap in the Popper's criterion.</w:t>
      </w:r>
    </w:p>
    <w:p w:rsidR="006D4939" w:rsidRPr="006D4939" w:rsidRDefault="006D4939" w:rsidP="006D4939">
      <w:pPr>
        <w:contextualSpacing/>
        <w:jc w:val="left"/>
      </w:pPr>
      <w:r w:rsidRPr="006D4939">
        <w:t xml:space="preserve">In conclusion, </w:t>
      </w:r>
      <w:r w:rsidR="00A47DB1" w:rsidRPr="006D4939">
        <w:t>it’s</w:t>
      </w:r>
      <w:r w:rsidRPr="006D4939">
        <w:t xml:space="preserve"> clear that philosophers have failed to agree on a particular method to solve demarcation problem. Scientists are still researching reliable criteria to be used on distinguishing scientific and non-scientific knowledge. However, the above approaches are widely accepted to solve demarcation problems depending on scientific knowledge.</w:t>
      </w:r>
    </w:p>
    <w:p w:rsidR="006D4939" w:rsidRPr="006D4939" w:rsidRDefault="006D4939" w:rsidP="006D4939">
      <w:pPr>
        <w:contextualSpacing/>
        <w:rPr>
          <w:b/>
        </w:rPr>
      </w:pPr>
      <w:r w:rsidRPr="006D4939">
        <w:rPr>
          <w:b/>
        </w:rPr>
        <w:t>Part 2</w:t>
      </w:r>
    </w:p>
    <w:p w:rsidR="006D4939" w:rsidRPr="006D4939" w:rsidRDefault="006D4939" w:rsidP="006D4939">
      <w:pPr>
        <w:contextualSpacing/>
        <w:rPr>
          <w:b/>
        </w:rPr>
      </w:pPr>
      <w:r w:rsidRPr="006D4939">
        <w:rPr>
          <w:b/>
        </w:rPr>
        <w:t>Question 3: Difference between deductive and inductive reasoning</w:t>
      </w:r>
    </w:p>
    <w:p w:rsidR="006D4939" w:rsidRPr="006D4939" w:rsidRDefault="006D4939" w:rsidP="006D4939">
      <w:pPr>
        <w:contextualSpacing/>
        <w:jc w:val="left"/>
      </w:pPr>
      <w:r w:rsidRPr="006D4939">
        <w:t xml:space="preserve">Deductive and </w:t>
      </w:r>
      <w:r w:rsidR="00875B06" w:rsidRPr="006D4939">
        <w:t xml:space="preserve">inductive </w:t>
      </w:r>
      <w:r w:rsidR="00875B06">
        <w:t>reasoning</w:t>
      </w:r>
      <w:r w:rsidR="00B72106">
        <w:t xml:space="preserve"> </w:t>
      </w:r>
      <w:r w:rsidRPr="006D4939">
        <w:t>are common approaches to solving problems and are applied by different people. These approaches are used differently and solve problems in different ways. Deduction involves getting the idea first, followed by observation and then the conclusion. In contrast, the induction approach involves observation fist, followed by an idea used to discuss what is observed. Another difference is that in the deductive reasoning approach, the conclusions should be perfect as long as no mistakes are made while in induction, the quality of a decision depends on previous steps, that is, observations.</w:t>
      </w:r>
    </w:p>
    <w:p w:rsidR="006D4939" w:rsidRPr="006D4939" w:rsidRDefault="006D4939" w:rsidP="006D4939">
      <w:pPr>
        <w:contextualSpacing/>
        <w:jc w:val="left"/>
      </w:pPr>
      <w:r w:rsidRPr="006D4939">
        <w:t>The deductive and inductive</w:t>
      </w:r>
      <w:r w:rsidR="00B72106">
        <w:t xml:space="preserve"> aspects</w:t>
      </w:r>
      <w:r w:rsidRPr="006D4939">
        <w:t xml:space="preserve"> are further supported by the confirmation and disconfirmation reasoning. Confirmation reasoning supports deductive reasoning so that if the observations made are correct, then one confirms the theory or decisions </w:t>
      </w:r>
      <w:r w:rsidR="003A4601" w:rsidRPr="006D4939">
        <w:t>made.</w:t>
      </w:r>
      <w:r w:rsidR="003A4601">
        <w:t xml:space="preserve"> As stated by Zalaghi &amp; Khazaei,</w:t>
      </w:r>
      <w:r w:rsidR="00875B06">
        <w:t xml:space="preserve"> </w:t>
      </w:r>
      <w:r w:rsidR="003A4601">
        <w:t>(2016), f</w:t>
      </w:r>
      <w:r w:rsidRPr="006D4939">
        <w:t>or dedu</w:t>
      </w:r>
      <w:r>
        <w:t>ctively invalid reasoning,</w:t>
      </w:r>
      <w:r w:rsidRPr="006D4939">
        <w:t xml:space="preserve"> there is a possibility of true premises and a false conclusion, while for valid deductive reasoning, the findings are correct. </w:t>
      </w:r>
      <w:r w:rsidRPr="006D4939">
        <w:lastRenderedPageBreak/>
        <w:t xml:space="preserve">Therefore confirmation reasoning relies on the predictions made after testing theories. In contrast, disconfirmation reasoning is supported by deductively valid reasoning. It makes it more trusted and factual than confirmation </w:t>
      </w:r>
      <w:r w:rsidR="00A47DB1" w:rsidRPr="006D4939">
        <w:t>reasoning</w:t>
      </w:r>
      <w:r w:rsidR="00A47DB1">
        <w:t xml:space="preserve"> (</w:t>
      </w:r>
      <w:r w:rsidR="003A4601">
        <w:t>Chi, Ouyang &amp; Xu 2018)</w:t>
      </w:r>
      <w:r w:rsidRPr="006D4939">
        <w:t>. For example, if one predicts something and turns out to be incorrect, no change can be made, but it remains so.</w:t>
      </w:r>
    </w:p>
    <w:p w:rsidR="006B471C" w:rsidRDefault="006D4939" w:rsidP="006D4939">
      <w:pPr>
        <w:contextualSpacing/>
        <w:jc w:val="left"/>
        <w:rPr>
          <w:b/>
        </w:rPr>
      </w:pPr>
      <w:r w:rsidRPr="006D4939">
        <w:t>The Duhem-Quine thesis is a thesis that involves observation and underdetermines empirical evidence of the theory. It states that a theory can be accepted or rejected depending on the interpretation of the evidence provided. For example, if a friend has spent $50 on a novel costing 30$ and a revision book costing $5, all I know is that he didn't buy two novels, but I can't know the number of books he bought. The thesis affects confirmation and disconfirmation reasoning.</w:t>
      </w:r>
      <w:r w:rsidR="006B471C">
        <w:rPr>
          <w:b/>
        </w:rPr>
        <w:br w:type="page"/>
      </w:r>
    </w:p>
    <w:p w:rsidR="004A653B" w:rsidRDefault="006B471C" w:rsidP="006D4939">
      <w:pPr>
        <w:contextualSpacing/>
        <w:rPr>
          <w:b/>
        </w:rPr>
      </w:pPr>
      <w:r>
        <w:rPr>
          <w:b/>
        </w:rPr>
        <w:lastRenderedPageBreak/>
        <w:t>References</w:t>
      </w:r>
    </w:p>
    <w:p w:rsidR="006D4939" w:rsidRPr="003A4601" w:rsidRDefault="006D4939" w:rsidP="006D4939">
      <w:pPr>
        <w:ind w:left="720" w:hanging="720"/>
        <w:contextualSpacing/>
        <w:jc w:val="left"/>
        <w:rPr>
          <w:color w:val="222222"/>
          <w:shd w:val="clear" w:color="auto" w:fill="FFFFFF"/>
        </w:rPr>
      </w:pPr>
      <w:r w:rsidRPr="003A4601">
        <w:rPr>
          <w:color w:val="222222"/>
          <w:shd w:val="clear" w:color="auto" w:fill="FFFFFF"/>
        </w:rPr>
        <w:t>Fink, B. (2018). Knowledge and science: Fantasies of the whole. In </w:t>
      </w:r>
      <w:r w:rsidRPr="003A4601">
        <w:rPr>
          <w:i/>
          <w:iCs/>
          <w:color w:val="222222"/>
          <w:shd w:val="clear" w:color="auto" w:fill="FFFFFF"/>
        </w:rPr>
        <w:t>Lacan and science</w:t>
      </w:r>
      <w:r w:rsidRPr="003A4601">
        <w:rPr>
          <w:color w:val="222222"/>
          <w:shd w:val="clear" w:color="auto" w:fill="FFFFFF"/>
        </w:rPr>
        <w:t> (pp. 167-178). Routledge.</w:t>
      </w:r>
    </w:p>
    <w:p w:rsidR="006D4939" w:rsidRPr="003A4601" w:rsidRDefault="006D4939" w:rsidP="006D4939">
      <w:pPr>
        <w:ind w:left="720" w:hanging="720"/>
        <w:contextualSpacing/>
        <w:jc w:val="left"/>
        <w:rPr>
          <w:color w:val="222222"/>
          <w:shd w:val="clear" w:color="auto" w:fill="FFFFFF"/>
        </w:rPr>
      </w:pPr>
      <w:r w:rsidRPr="003A4601">
        <w:rPr>
          <w:color w:val="222222"/>
          <w:shd w:val="clear" w:color="auto" w:fill="FFFFFF"/>
        </w:rPr>
        <w:t>Lebedev, S. A. (2016). Scientific knowledge: the demarcation problem. </w:t>
      </w:r>
      <w:r w:rsidRPr="003A4601">
        <w:rPr>
          <w:i/>
          <w:iCs/>
          <w:color w:val="222222"/>
          <w:shd w:val="clear" w:color="auto" w:fill="FFFFFF"/>
        </w:rPr>
        <w:t>European Journal of Philosophical Research</w:t>
      </w:r>
      <w:r w:rsidRPr="003A4601">
        <w:rPr>
          <w:color w:val="222222"/>
          <w:shd w:val="clear" w:color="auto" w:fill="FFFFFF"/>
        </w:rPr>
        <w:t>, (1), 27-34.</w:t>
      </w:r>
    </w:p>
    <w:p w:rsidR="006D4939" w:rsidRPr="003A4601" w:rsidRDefault="006D4939" w:rsidP="006D4939">
      <w:pPr>
        <w:ind w:left="720" w:hanging="720"/>
        <w:contextualSpacing/>
        <w:jc w:val="left"/>
        <w:rPr>
          <w:color w:val="222222"/>
          <w:shd w:val="clear" w:color="auto" w:fill="FFFFFF"/>
        </w:rPr>
      </w:pPr>
      <w:r w:rsidRPr="003A4601">
        <w:rPr>
          <w:color w:val="222222"/>
          <w:shd w:val="clear" w:color="auto" w:fill="FFFFFF"/>
        </w:rPr>
        <w:t>Van Witteloostuijn, A. (2016). What happened to Popperian falsification? Publishing neutral and negative findings. </w:t>
      </w:r>
      <w:r w:rsidRPr="003A4601">
        <w:rPr>
          <w:i/>
          <w:iCs/>
          <w:color w:val="222222"/>
          <w:shd w:val="clear" w:color="auto" w:fill="FFFFFF"/>
        </w:rPr>
        <w:t>Cross Cultural &amp; Strategic Management</w:t>
      </w:r>
      <w:r w:rsidRPr="003A4601">
        <w:rPr>
          <w:color w:val="222222"/>
          <w:shd w:val="clear" w:color="auto" w:fill="FFFFFF"/>
        </w:rPr>
        <w:t>, </w:t>
      </w:r>
      <w:r w:rsidRPr="003A4601">
        <w:rPr>
          <w:i/>
          <w:iCs/>
          <w:color w:val="222222"/>
          <w:shd w:val="clear" w:color="auto" w:fill="FFFFFF"/>
        </w:rPr>
        <w:t>23</w:t>
      </w:r>
      <w:r w:rsidRPr="003A4601">
        <w:rPr>
          <w:color w:val="222222"/>
          <w:shd w:val="clear" w:color="auto" w:fill="FFFFFF"/>
        </w:rPr>
        <w:t>(3), 481-508.</w:t>
      </w:r>
    </w:p>
    <w:p w:rsidR="004A653B" w:rsidRPr="003A4601" w:rsidRDefault="004A653B" w:rsidP="003A4601">
      <w:pPr>
        <w:ind w:left="720" w:hanging="720"/>
        <w:contextualSpacing/>
        <w:jc w:val="left"/>
        <w:rPr>
          <w:color w:val="222222"/>
          <w:shd w:val="clear" w:color="auto" w:fill="FFFFFF"/>
        </w:rPr>
      </w:pPr>
      <w:r w:rsidRPr="003A4601">
        <w:rPr>
          <w:color w:val="222222"/>
          <w:shd w:val="clear" w:color="auto" w:fill="FFFFFF"/>
        </w:rPr>
        <w:t>Zalaghi, H., &amp; Khazaei, M. (2016). The role of deductive and inductive reasoning in accounting research and standard setting. </w:t>
      </w:r>
      <w:r w:rsidRPr="003A4601">
        <w:rPr>
          <w:i/>
          <w:iCs/>
          <w:color w:val="222222"/>
          <w:shd w:val="clear" w:color="auto" w:fill="FFFFFF"/>
        </w:rPr>
        <w:t>Asian Journal of Finance &amp; Accounting</w:t>
      </w:r>
      <w:r w:rsidRPr="003A4601">
        <w:rPr>
          <w:color w:val="222222"/>
          <w:shd w:val="clear" w:color="auto" w:fill="FFFFFF"/>
        </w:rPr>
        <w:t>, </w:t>
      </w:r>
      <w:r w:rsidRPr="003A4601">
        <w:rPr>
          <w:i/>
          <w:iCs/>
          <w:color w:val="222222"/>
          <w:shd w:val="clear" w:color="auto" w:fill="FFFFFF"/>
        </w:rPr>
        <w:t>8</w:t>
      </w:r>
      <w:r w:rsidRPr="003A4601">
        <w:rPr>
          <w:color w:val="222222"/>
          <w:shd w:val="clear" w:color="auto" w:fill="FFFFFF"/>
        </w:rPr>
        <w:t>(1), 23-37.</w:t>
      </w:r>
    </w:p>
    <w:p w:rsidR="004A653B" w:rsidRPr="003A4601" w:rsidRDefault="004A653B" w:rsidP="003A4601">
      <w:pPr>
        <w:ind w:left="720" w:hanging="720"/>
        <w:contextualSpacing/>
        <w:jc w:val="left"/>
        <w:rPr>
          <w:color w:val="222222"/>
          <w:shd w:val="clear" w:color="auto" w:fill="FFFFFF"/>
        </w:rPr>
      </w:pPr>
      <w:r w:rsidRPr="003A4601">
        <w:rPr>
          <w:color w:val="222222"/>
          <w:shd w:val="clear" w:color="auto" w:fill="FFFFFF"/>
        </w:rPr>
        <w:t>Chi, C. G. Q., Ouyang, Z., &amp; Xu, X. (2018). Changing perceptions and reasoning process: Comparison of residents’ pre-and post-event attitudes. </w:t>
      </w:r>
      <w:r w:rsidRPr="003A4601">
        <w:rPr>
          <w:i/>
          <w:iCs/>
          <w:color w:val="222222"/>
          <w:shd w:val="clear" w:color="auto" w:fill="FFFFFF"/>
        </w:rPr>
        <w:t>Annals of Tourism Research</w:t>
      </w:r>
      <w:r w:rsidRPr="003A4601">
        <w:rPr>
          <w:color w:val="222222"/>
          <w:shd w:val="clear" w:color="auto" w:fill="FFFFFF"/>
        </w:rPr>
        <w:t>, </w:t>
      </w:r>
      <w:r w:rsidRPr="003A4601">
        <w:rPr>
          <w:i/>
          <w:iCs/>
          <w:color w:val="222222"/>
          <w:shd w:val="clear" w:color="auto" w:fill="FFFFFF"/>
        </w:rPr>
        <w:t>70</w:t>
      </w:r>
      <w:r w:rsidRPr="003A4601">
        <w:rPr>
          <w:color w:val="222222"/>
          <w:shd w:val="clear" w:color="auto" w:fill="FFFFFF"/>
        </w:rPr>
        <w:t>, 39-53.</w:t>
      </w:r>
    </w:p>
    <w:p w:rsidR="004A653B" w:rsidRPr="004A653B" w:rsidRDefault="004A653B" w:rsidP="004A653B">
      <w:pPr>
        <w:ind w:firstLine="0"/>
        <w:jc w:val="left"/>
      </w:pPr>
    </w:p>
    <w:p w:rsidR="004A653B" w:rsidRDefault="004A653B">
      <w:pPr>
        <w:rPr>
          <w:b/>
        </w:rPr>
      </w:pPr>
      <w:r>
        <w:rPr>
          <w:b/>
        </w:rPr>
        <w:br w:type="page"/>
      </w:r>
    </w:p>
    <w:p w:rsidR="006B471C" w:rsidRPr="006B471C" w:rsidRDefault="006B471C" w:rsidP="004A653B">
      <w:pPr>
        <w:ind w:firstLine="0"/>
        <w:rPr>
          <w:b/>
        </w:rPr>
      </w:pPr>
    </w:p>
    <w:sectPr w:rsidR="006B471C" w:rsidRPr="006B471C" w:rsidSect="00FD3D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0192" w:rsidRDefault="00D30192" w:rsidP="00FD3DD3">
      <w:pPr>
        <w:spacing w:after="0" w:line="240" w:lineRule="auto"/>
      </w:pPr>
      <w:r>
        <w:separator/>
      </w:r>
    </w:p>
  </w:endnote>
  <w:endnote w:type="continuationSeparator" w:id="1">
    <w:p w:rsidR="00D30192" w:rsidRDefault="00D30192" w:rsidP="00FD3D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0192" w:rsidRDefault="00D30192" w:rsidP="00FD3DD3">
      <w:pPr>
        <w:spacing w:after="0" w:line="240" w:lineRule="auto"/>
      </w:pPr>
      <w:r>
        <w:separator/>
      </w:r>
    </w:p>
  </w:footnote>
  <w:footnote w:type="continuationSeparator" w:id="1">
    <w:p w:rsidR="00D30192" w:rsidRDefault="00D30192" w:rsidP="00FD3D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D3" w:rsidRDefault="00FD3DD3">
    <w:pPr>
      <w:pStyle w:val="Header"/>
    </w:pPr>
    <w:r>
      <w:t xml:space="preserve">                                                                                                                                 </w:t>
    </w:r>
    <w:fldSimple w:instr=" PAGE   \* MERGEFORMAT ">
      <w:r w:rsidR="00875B06">
        <w:rPr>
          <w:noProof/>
        </w:rPr>
        <w:t>4</w:t>
      </w:r>
    </w:fldSimple>
  </w:p>
  <w:p w:rsidR="00FD3DD3" w:rsidRDefault="00FD3DD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D3" w:rsidRDefault="00FD3DD3">
    <w:pPr>
      <w:pStyle w:val="Header"/>
    </w:pPr>
    <w:r>
      <w:t xml:space="preserve">                                                                                                                                              </w:t>
    </w:r>
    <w:fldSimple w:instr=" PAGE   \* MERGEFORMAT ">
      <w:r w:rsidR="00875B06">
        <w:rPr>
          <w:noProof/>
        </w:rPr>
        <w:t>1</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FD3DD3"/>
    <w:rsid w:val="00043664"/>
    <w:rsid w:val="000D7687"/>
    <w:rsid w:val="000E5EBF"/>
    <w:rsid w:val="001226D0"/>
    <w:rsid w:val="002230D1"/>
    <w:rsid w:val="00285E92"/>
    <w:rsid w:val="003206AB"/>
    <w:rsid w:val="003375AD"/>
    <w:rsid w:val="00356F9A"/>
    <w:rsid w:val="003853D6"/>
    <w:rsid w:val="00392EE3"/>
    <w:rsid w:val="003A4601"/>
    <w:rsid w:val="003C30E5"/>
    <w:rsid w:val="00412437"/>
    <w:rsid w:val="004750C6"/>
    <w:rsid w:val="004A653B"/>
    <w:rsid w:val="00594C42"/>
    <w:rsid w:val="005F37FC"/>
    <w:rsid w:val="00660EAC"/>
    <w:rsid w:val="006B471C"/>
    <w:rsid w:val="006D4939"/>
    <w:rsid w:val="00875B06"/>
    <w:rsid w:val="009421EA"/>
    <w:rsid w:val="00A0159F"/>
    <w:rsid w:val="00A04CCA"/>
    <w:rsid w:val="00A42774"/>
    <w:rsid w:val="00A47DB1"/>
    <w:rsid w:val="00A55890"/>
    <w:rsid w:val="00B078FC"/>
    <w:rsid w:val="00B72106"/>
    <w:rsid w:val="00B87514"/>
    <w:rsid w:val="00BA734B"/>
    <w:rsid w:val="00C71AF3"/>
    <w:rsid w:val="00D00114"/>
    <w:rsid w:val="00D01DD1"/>
    <w:rsid w:val="00D30192"/>
    <w:rsid w:val="00D52C0D"/>
    <w:rsid w:val="00E112A2"/>
    <w:rsid w:val="00E1204E"/>
    <w:rsid w:val="00E76E79"/>
    <w:rsid w:val="00EE7905"/>
    <w:rsid w:val="00F8264F"/>
    <w:rsid w:val="00F865AA"/>
    <w:rsid w:val="00FD3D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DD3"/>
  </w:style>
  <w:style w:type="paragraph" w:styleId="Footer">
    <w:name w:val="footer"/>
    <w:basedOn w:val="Normal"/>
    <w:link w:val="FooterChar"/>
    <w:uiPriority w:val="99"/>
    <w:semiHidden/>
    <w:unhideWhenUsed/>
    <w:rsid w:val="00FD3D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3DD3"/>
  </w:style>
  <w:style w:type="paragraph" w:styleId="BalloonText">
    <w:name w:val="Balloon Text"/>
    <w:basedOn w:val="Normal"/>
    <w:link w:val="BalloonTextChar"/>
    <w:uiPriority w:val="99"/>
    <w:semiHidden/>
    <w:unhideWhenUsed/>
    <w:rsid w:val="00FD3D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D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830</Words>
  <Characters>4733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2020-10-06T13:32:00Z</dcterms:created>
  <dcterms:modified xsi:type="dcterms:W3CDTF">2020-10-06T13:32:00Z</dcterms:modified>
</cp:coreProperties>
</file>